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2532" w:rsidRDefault="00982532" w:rsidP="009825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PRESUPUESTO GENERAL DEL ESTADO</w:t>
      </w:r>
    </w:p>
    <w:p w:rsidR="00D709A8" w:rsidRPr="00982532" w:rsidRDefault="00982532" w:rsidP="009825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t>El presupuesto es una herramienta fundamental aplicable en hogares, empresas y países, ayuda a organizar adecuadamente los ingresos y gastos de las personas para alcanzar metas en un determinado periodo de tiempo (corto, mediano o largo plazo), facilitando de esta manera la toma de decisiones, al conocer la situación real en busca de un crecimiento personal, organizacional o nacional. En el Ecuador, de conformidad al artículo 292 de la Constitución de la República se establece: “El Presupuesto General del Estado es el instrumento para la determinación y gestión de los ingresos y egresos del Estado, e incluye todos los ingresos y egresos del sector público, con excepción de los pertenecientes a la seguridad social, la banca pública, las empresas públicas y los gobiernos autónomos descentralizados.” Los principales ingresos que se incluyen en el PGE son: la venta de petróleo, la recaudación de impuestos entre otros rubros, mientras que, entre los gastos se mencionan los de servicios, producción, educación, salud,</w:t>
      </w:r>
      <w:r w:rsidRPr="00982532">
        <w:rPr>
          <w:rFonts w:ascii="Arial" w:hAnsi="Arial" w:cs="Arial"/>
          <w:sz w:val="24"/>
          <w:szCs w:val="24"/>
        </w:rPr>
        <w:t xml:space="preserve"> </w:t>
      </w:r>
      <w:r w:rsidRPr="00982532">
        <w:rPr>
          <w:rFonts w:ascii="Arial" w:hAnsi="Arial" w:cs="Arial"/>
          <w:sz w:val="24"/>
          <w:szCs w:val="24"/>
        </w:rPr>
        <w:t>vivienda, agricultura, seguridad, transporte, electricidad.</w:t>
      </w:r>
    </w:p>
    <w:p w:rsidR="00982532" w:rsidRPr="00982532" w:rsidRDefault="00982532" w:rsidP="00982532">
      <w:pPr>
        <w:shd w:val="clear" w:color="auto" w:fill="FFFFFF"/>
        <w:spacing w:after="150" w:line="360" w:lineRule="auto"/>
        <w:ind w:left="708"/>
        <w:jc w:val="both"/>
        <w:rPr>
          <w:rFonts w:ascii="Arial" w:eastAsia="Times New Roman" w:hAnsi="Arial" w:cs="Arial"/>
          <w:color w:val="001D35"/>
          <w:sz w:val="24"/>
          <w:szCs w:val="24"/>
          <w:lang w:eastAsia="es-EC"/>
        </w:rPr>
      </w:pPr>
      <w:r w:rsidRPr="00982532">
        <w:rPr>
          <w:rFonts w:ascii="Arial" w:eastAsia="Times New Roman" w:hAnsi="Arial" w:cs="Arial"/>
          <w:color w:val="001D35"/>
          <w:sz w:val="24"/>
          <w:szCs w:val="24"/>
          <w:lang w:eastAsia="es-EC"/>
        </w:rPr>
        <w:t>El PGE es importante porque:</w:t>
      </w:r>
    </w:p>
    <w:p w:rsidR="00982532" w:rsidRPr="00982532" w:rsidRDefault="00982532" w:rsidP="00982532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after="120"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982532">
        <w:rPr>
          <w:rFonts w:ascii="Arial" w:eastAsia="Times New Roman" w:hAnsi="Arial" w:cs="Arial"/>
          <w:color w:val="001D35"/>
          <w:sz w:val="24"/>
          <w:szCs w:val="24"/>
          <w:lang w:eastAsia="es-EC"/>
        </w:rPr>
        <w:t>Permite a los responsables políticos anticiparse a la demanda de servicios públicos. </w:t>
      </w:r>
    </w:p>
    <w:p w:rsidR="00982532" w:rsidRPr="00982532" w:rsidRDefault="00982532" w:rsidP="00982532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after="120" w:line="360" w:lineRule="auto"/>
        <w:ind w:left="708"/>
        <w:jc w:val="both"/>
        <w:rPr>
          <w:rFonts w:ascii="Arial" w:eastAsia="Times New Roman" w:hAnsi="Arial" w:cs="Arial"/>
          <w:color w:val="001D35"/>
          <w:sz w:val="24"/>
          <w:szCs w:val="24"/>
          <w:lang w:eastAsia="es-EC"/>
        </w:rPr>
      </w:pPr>
      <w:r w:rsidRPr="00982532">
        <w:rPr>
          <w:rFonts w:ascii="Arial" w:eastAsia="Times New Roman" w:hAnsi="Arial" w:cs="Arial"/>
          <w:color w:val="001D35"/>
          <w:sz w:val="24"/>
          <w:szCs w:val="24"/>
          <w:lang w:eastAsia="es-EC"/>
        </w:rPr>
        <w:t>Ayuda a los funcionarios a tomar decisiones más informadas sobre política fiscal, impuestos y gasto público. </w:t>
      </w:r>
    </w:p>
    <w:p w:rsidR="00982532" w:rsidRPr="00982532" w:rsidRDefault="00982532" w:rsidP="00982532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after="120" w:line="360" w:lineRule="auto"/>
        <w:ind w:left="708"/>
        <w:jc w:val="both"/>
        <w:rPr>
          <w:rFonts w:ascii="Arial" w:eastAsia="Times New Roman" w:hAnsi="Arial" w:cs="Arial"/>
          <w:color w:val="001D35"/>
          <w:sz w:val="24"/>
          <w:szCs w:val="24"/>
          <w:lang w:eastAsia="es-EC"/>
        </w:rPr>
      </w:pPr>
      <w:r w:rsidRPr="00982532">
        <w:rPr>
          <w:rFonts w:ascii="Arial" w:eastAsia="Times New Roman" w:hAnsi="Arial" w:cs="Arial"/>
          <w:color w:val="001D35"/>
          <w:sz w:val="24"/>
          <w:szCs w:val="24"/>
          <w:lang w:eastAsia="es-EC"/>
        </w:rPr>
        <w:t>Muestra las prioridades y los objetivos del gobierno a través de los montos destinados a sus ingresos y sus gastos. </w:t>
      </w:r>
    </w:p>
    <w:p w:rsidR="00982532" w:rsidRPr="00982532" w:rsidRDefault="00982532" w:rsidP="00982532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after="0" w:line="360" w:lineRule="auto"/>
        <w:ind w:left="708"/>
        <w:jc w:val="both"/>
        <w:rPr>
          <w:rFonts w:ascii="Arial" w:eastAsia="Times New Roman" w:hAnsi="Arial" w:cs="Arial"/>
          <w:color w:val="001D35"/>
          <w:sz w:val="24"/>
          <w:szCs w:val="24"/>
          <w:lang w:eastAsia="es-EC"/>
        </w:rPr>
      </w:pPr>
      <w:r w:rsidRPr="00982532">
        <w:rPr>
          <w:rFonts w:ascii="Arial" w:eastAsia="Times New Roman" w:hAnsi="Arial" w:cs="Arial"/>
          <w:color w:val="001D35"/>
          <w:sz w:val="24"/>
          <w:szCs w:val="24"/>
          <w:lang w:eastAsia="es-EC"/>
        </w:rPr>
        <w:t>Revela las verdaderas preferencias y prioridades del gobierno. </w:t>
      </w:r>
    </w:p>
    <w:p w:rsidR="00982532" w:rsidRDefault="00982532" w:rsidP="00982532">
      <w:pPr>
        <w:shd w:val="clear" w:color="auto" w:fill="FFFFFF"/>
        <w:spacing w:line="360" w:lineRule="auto"/>
        <w:ind w:left="708"/>
        <w:jc w:val="both"/>
        <w:rPr>
          <w:rFonts w:ascii="Arial" w:eastAsia="Times New Roman" w:hAnsi="Arial" w:cs="Arial"/>
          <w:color w:val="001D35"/>
          <w:sz w:val="24"/>
          <w:szCs w:val="24"/>
          <w:lang w:eastAsia="es-EC"/>
        </w:rPr>
      </w:pPr>
      <w:r w:rsidRPr="00982532">
        <w:rPr>
          <w:rFonts w:ascii="Arial" w:eastAsia="Times New Roman" w:hAnsi="Arial" w:cs="Arial"/>
          <w:color w:val="001D35"/>
          <w:sz w:val="24"/>
          <w:szCs w:val="24"/>
          <w:lang w:eastAsia="es-EC"/>
        </w:rPr>
        <w:t>El PGE se establece para un período determinado, generalmente de un año. </w:t>
      </w:r>
    </w:p>
    <w:p w:rsidR="00982532" w:rsidRPr="00982532" w:rsidRDefault="00982532" w:rsidP="00982532">
      <w:pPr>
        <w:spacing w:before="100" w:beforeAutospacing="1" w:after="100" w:afterAutospacing="1" w:line="36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982532">
        <w:rPr>
          <w:rFonts w:ascii="Arial" w:hAnsi="Arial" w:cs="Arial"/>
          <w:b/>
          <w:bCs/>
          <w:sz w:val="24"/>
          <w:szCs w:val="24"/>
        </w:rPr>
        <w:t>Componentes del Presupuesto General del Estado</w:t>
      </w:r>
    </w:p>
    <w:bookmarkEnd w:id="0"/>
    <w:p w:rsidR="00982532" w:rsidRPr="00982532" w:rsidRDefault="00982532" w:rsidP="009825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t>El presupuesto se divide en dos componentes principales: ingresos y gastos, los cuales se desglosan en diferentes categorías y clasificaciones para optimizar su uso.</w:t>
      </w:r>
    </w:p>
    <w:p w:rsidR="00982532" w:rsidRPr="00982532" w:rsidRDefault="00982532" w:rsidP="00982532">
      <w:pPr>
        <w:spacing w:before="100" w:beforeAutospacing="1" w:after="100" w:afterAutospacing="1" w:line="36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lastRenderedPageBreak/>
        <w:t>a. Ingresos</w:t>
      </w:r>
    </w:p>
    <w:p w:rsidR="00982532" w:rsidRPr="00982532" w:rsidRDefault="00982532" w:rsidP="009825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t>Los ingresos en el PGE representan todos los fondos que el Estado prevé recaudar en el periodo presupuestario. Estos ingresos se pueden clasificar en varias categorías según su origen:</w:t>
      </w:r>
    </w:p>
    <w:p w:rsidR="00982532" w:rsidRPr="00982532" w:rsidRDefault="00982532" w:rsidP="009825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t>Ingresos corrientes: Estos provienen de actividades regulares del Estado, como impuestos (directos e indirectos), contribuciones y tasas. Los impuestos directos son aquellos que se aplican sobre la renta y el patrimonio, mientras que los indirectos afectan al consumo, como el IVA (Cruz &amp; Gómez, 2021).</w:t>
      </w:r>
    </w:p>
    <w:p w:rsidR="00982532" w:rsidRPr="00982532" w:rsidRDefault="00982532" w:rsidP="009825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t>Ingresos de capital: Ingresos extraordinarios obtenidos a través de operaciones de financiamiento, ventas de activos públicos o ingresos de operaciones financieras, como la emisión de deuda pública.</w:t>
      </w:r>
    </w:p>
    <w:p w:rsidR="00982532" w:rsidRPr="00982532" w:rsidRDefault="00982532" w:rsidP="009825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t>Transferencias y donaciones: Recursos recibidos a través de organismos internacionales, cooperaciones intergubernamentales y donaciones de entidades externas.</w:t>
      </w:r>
    </w:p>
    <w:p w:rsidR="00982532" w:rsidRPr="00982532" w:rsidRDefault="00982532" w:rsidP="00982532">
      <w:pPr>
        <w:spacing w:before="100" w:beforeAutospacing="1" w:after="100" w:afterAutospacing="1" w:line="36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t>b. Gastos</w:t>
      </w:r>
    </w:p>
    <w:p w:rsidR="00982532" w:rsidRPr="00982532" w:rsidRDefault="00982532" w:rsidP="009825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t>Los gastos del Estado representan el conjunto de recursos destinados a cumplir con las funciones públicas y los objetivos de desarrollo nacional. Al igual que los ingresos, los gastos se clasifican en diferentes categorías:</w:t>
      </w:r>
    </w:p>
    <w:p w:rsidR="00982532" w:rsidRPr="00982532" w:rsidRDefault="00982532" w:rsidP="009825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t>Gastos corrientes: Son aquellos destinados al funcionamiento administrativo, incluyendo los salarios de los empleados públicos, los gastos de mantenimiento y los servicios básicos.</w:t>
      </w:r>
    </w:p>
    <w:p w:rsidR="00982532" w:rsidRPr="00982532" w:rsidRDefault="00982532" w:rsidP="009825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t>Gastos de capital o inversión: Recursos destinados a obras de infraestructura, construcción y desarrollo de proyectos productivos que generen beneficios a largo plazo para la población.</w:t>
      </w:r>
    </w:p>
    <w:p w:rsidR="00982532" w:rsidRPr="00982532" w:rsidRDefault="00982532" w:rsidP="009825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t>Servicio de la deuda: Incluye los pagos de intereses y el capital adeudado, resultado de préstamos adquiridos para financiar proyectos estatales.</w:t>
      </w:r>
    </w:p>
    <w:p w:rsidR="00982532" w:rsidRPr="00982532" w:rsidRDefault="00982532" w:rsidP="00982532">
      <w:pPr>
        <w:spacing w:before="100" w:beforeAutospacing="1" w:after="100" w:afterAutospacing="1" w:line="36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t>c. Clasificación de Ingresos y Gastos</w:t>
      </w:r>
    </w:p>
    <w:p w:rsidR="00982532" w:rsidRPr="00982532" w:rsidRDefault="00982532" w:rsidP="0098253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lastRenderedPageBreak/>
        <w:t>El presupuesto se clasifica en función de su finalidad, distribución y naturaleza, lo que facilita su organización y permite evaluar el cumplimiento de objetivos. Las clasificaciones pueden ser:</w:t>
      </w:r>
    </w:p>
    <w:p w:rsidR="00982532" w:rsidRPr="00982532" w:rsidRDefault="00982532" w:rsidP="009825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t>Clasificación económica: Divide los ingresos y gastos en corrientes y de capital para facilitar el análisis económico.</w:t>
      </w:r>
    </w:p>
    <w:p w:rsidR="00982532" w:rsidRPr="00982532" w:rsidRDefault="00982532" w:rsidP="009825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t>Clasificación funcional: Asigna el gasto a funciones específicas como salud, educación, seguridad, etc.</w:t>
      </w:r>
    </w:p>
    <w:p w:rsidR="00982532" w:rsidRPr="00982532" w:rsidRDefault="00982532" w:rsidP="009825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t>Clasificación programática: Agrupa las partidas presupuestarias según programas o proyectos, como desarrollo urbano o rural.</w:t>
      </w:r>
    </w:p>
    <w:p w:rsidR="00982532" w:rsidRPr="00982532" w:rsidRDefault="00982532" w:rsidP="00982532">
      <w:pPr>
        <w:spacing w:before="100" w:beforeAutospacing="1" w:after="100" w:afterAutospacing="1" w:line="36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982532">
        <w:rPr>
          <w:rFonts w:ascii="Arial" w:hAnsi="Arial" w:cs="Arial"/>
          <w:sz w:val="24"/>
          <w:szCs w:val="24"/>
        </w:rPr>
        <w:t>Referencias</w:t>
      </w:r>
    </w:p>
    <w:p w:rsidR="00982532" w:rsidRPr="00982532" w:rsidRDefault="00982532" w:rsidP="0098253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82532">
        <w:rPr>
          <w:rFonts w:ascii="Arial" w:hAnsi="Arial" w:cs="Arial"/>
          <w:i/>
          <w:iCs/>
          <w:sz w:val="24"/>
          <w:szCs w:val="24"/>
        </w:rPr>
        <w:t xml:space="preserve">Arenas de Mesa, A., &amp; </w:t>
      </w:r>
      <w:proofErr w:type="spellStart"/>
      <w:r w:rsidRPr="00982532">
        <w:rPr>
          <w:rFonts w:ascii="Arial" w:hAnsi="Arial" w:cs="Arial"/>
          <w:i/>
          <w:iCs/>
          <w:sz w:val="24"/>
          <w:szCs w:val="24"/>
        </w:rPr>
        <w:t>Bertranou</w:t>
      </w:r>
      <w:proofErr w:type="spellEnd"/>
      <w:r w:rsidRPr="00982532">
        <w:rPr>
          <w:rFonts w:ascii="Arial" w:hAnsi="Arial" w:cs="Arial"/>
          <w:i/>
          <w:iCs/>
          <w:sz w:val="24"/>
          <w:szCs w:val="24"/>
        </w:rPr>
        <w:t>, F. M. (2020). Política fiscal y equidad en América Latina y el Caribe. CEPAL.</w:t>
      </w:r>
    </w:p>
    <w:p w:rsidR="00982532" w:rsidRPr="00982532" w:rsidRDefault="00982532" w:rsidP="0098253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82532">
        <w:rPr>
          <w:rFonts w:ascii="Arial" w:hAnsi="Arial" w:cs="Arial"/>
          <w:i/>
          <w:iCs/>
          <w:sz w:val="24"/>
          <w:szCs w:val="24"/>
        </w:rPr>
        <w:t>Castañeda, C., &amp; Reynoso, F. (2019). Finanzas Públicas y Presupuestos Gubernamentales. Siglo XXI Editores.</w:t>
      </w:r>
    </w:p>
    <w:p w:rsidR="00982532" w:rsidRPr="00982532" w:rsidRDefault="00982532" w:rsidP="0098253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82532">
        <w:rPr>
          <w:rFonts w:ascii="Arial" w:hAnsi="Arial" w:cs="Arial"/>
          <w:i/>
          <w:iCs/>
          <w:sz w:val="24"/>
          <w:szCs w:val="24"/>
        </w:rPr>
        <w:t>Cruz, E., &amp; Gómez, L. (2021). Fundamentos de Hacienda Pública. McGraw Hill.</w:t>
      </w:r>
    </w:p>
    <w:p w:rsidR="00982532" w:rsidRPr="00982532" w:rsidRDefault="00982532" w:rsidP="0098253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82532">
        <w:rPr>
          <w:rFonts w:ascii="Arial" w:hAnsi="Arial" w:cs="Arial"/>
          <w:i/>
          <w:iCs/>
          <w:sz w:val="24"/>
          <w:szCs w:val="24"/>
        </w:rPr>
        <w:t>Vallejo, R., &amp; Alcaraz, M. (2022). Manual de Presupuesto Público: Análisis y Estrategias. Editorial Universitaria.</w:t>
      </w:r>
    </w:p>
    <w:p w:rsidR="00982532" w:rsidRPr="00982532" w:rsidRDefault="00982532" w:rsidP="0098253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EC"/>
        </w:rPr>
      </w:pPr>
    </w:p>
    <w:p w:rsidR="00982532" w:rsidRPr="00982532" w:rsidRDefault="00982532" w:rsidP="009825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82532" w:rsidRPr="00982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F2EF8"/>
    <w:multiLevelType w:val="multilevel"/>
    <w:tmpl w:val="5182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D10E8"/>
    <w:multiLevelType w:val="multilevel"/>
    <w:tmpl w:val="6E6C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02030"/>
    <w:multiLevelType w:val="multilevel"/>
    <w:tmpl w:val="24EA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4751C"/>
    <w:multiLevelType w:val="multilevel"/>
    <w:tmpl w:val="EC54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3E7461"/>
    <w:multiLevelType w:val="multilevel"/>
    <w:tmpl w:val="F77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32"/>
    <w:rsid w:val="00982532"/>
    <w:rsid w:val="00D7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4683"/>
  <w15:chartTrackingRefBased/>
  <w15:docId w15:val="{52EB6D5A-250A-4848-A55F-C357DB57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82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Ttulo4">
    <w:name w:val="heading 4"/>
    <w:basedOn w:val="Normal"/>
    <w:link w:val="Ttulo4Car"/>
    <w:uiPriority w:val="9"/>
    <w:qFormat/>
    <w:rsid w:val="009825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zpzlf">
    <w:name w:val="pzpzlf"/>
    <w:basedOn w:val="Normal"/>
    <w:rsid w:val="0098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uv3um">
    <w:name w:val="uv3um"/>
    <w:basedOn w:val="Fuentedeprrafopredeter"/>
    <w:rsid w:val="00982532"/>
  </w:style>
  <w:style w:type="character" w:customStyle="1" w:styleId="Ttulo3Car">
    <w:name w:val="Título 3 Car"/>
    <w:basedOn w:val="Fuentedeprrafopredeter"/>
    <w:link w:val="Ttulo3"/>
    <w:uiPriority w:val="9"/>
    <w:rsid w:val="00982532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982532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98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982532"/>
    <w:rPr>
      <w:b/>
      <w:bCs/>
    </w:rPr>
  </w:style>
  <w:style w:type="character" w:styleId="nfasis">
    <w:name w:val="Emphasis"/>
    <w:basedOn w:val="Fuentedeprrafopredeter"/>
    <w:uiPriority w:val="20"/>
    <w:qFormat/>
    <w:rsid w:val="009825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365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273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680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Bermello</dc:creator>
  <cp:keywords/>
  <dc:description/>
  <cp:lastModifiedBy>Elizabeth Bermello</cp:lastModifiedBy>
  <cp:revision>1</cp:revision>
  <dcterms:created xsi:type="dcterms:W3CDTF">2024-10-29T02:56:00Z</dcterms:created>
  <dcterms:modified xsi:type="dcterms:W3CDTF">2024-10-29T03:03:00Z</dcterms:modified>
</cp:coreProperties>
</file>